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2ECD1" w14:textId="13914751" w:rsidR="00925B7B" w:rsidRPr="0022171A" w:rsidRDefault="00925B7B" w:rsidP="006D7142">
      <w:pPr>
        <w:spacing w:before="100" w:beforeAutospacing="1" w:after="100" w:afterAutospacing="1" w:line="240" w:lineRule="auto"/>
        <w:ind w:left="720"/>
        <w:outlineLvl w:val="2"/>
        <w:rPr>
          <w:rFonts w:ascii="Times New Roman" w:eastAsia="Times New Roman" w:hAnsi="Times New Roman" w:cs="Times New Roman"/>
          <w:b/>
          <w:bCs/>
          <w:sz w:val="24"/>
          <w:szCs w:val="24"/>
          <w:lang w:val="ro-RO"/>
        </w:rPr>
      </w:pPr>
      <w:r w:rsidRPr="0022171A">
        <w:rPr>
          <w:rFonts w:ascii="Times New Roman" w:eastAsia="Times New Roman" w:hAnsi="Times New Roman" w:cs="Times New Roman"/>
          <w:b/>
          <w:bCs/>
          <w:sz w:val="24"/>
          <w:szCs w:val="24"/>
          <w:lang w:val="it-IT"/>
        </w:rPr>
        <w:t xml:space="preserve">Concurs tehnician instalare </w:t>
      </w:r>
      <w:r w:rsidRPr="0022171A">
        <w:rPr>
          <w:rFonts w:ascii="Times New Roman" w:eastAsia="Times New Roman" w:hAnsi="Times New Roman" w:cs="Times New Roman"/>
          <w:b/>
          <w:bCs/>
          <w:sz w:val="24"/>
          <w:szCs w:val="24"/>
          <w:lang w:val="ro-RO"/>
        </w:rPr>
        <w:t>și depanare echipamente seismice</w:t>
      </w:r>
      <w:r w:rsidR="006D7142">
        <w:rPr>
          <w:rFonts w:ascii="Times New Roman" w:eastAsia="Times New Roman" w:hAnsi="Times New Roman" w:cs="Times New Roman"/>
          <w:b/>
          <w:bCs/>
          <w:sz w:val="24"/>
          <w:szCs w:val="24"/>
          <w:lang w:val="ro-RO"/>
        </w:rPr>
        <w:t>, cod COR 311203</w:t>
      </w:r>
    </w:p>
    <w:p w14:paraId="730BE4E1" w14:textId="77777777" w:rsidR="0022171A" w:rsidRPr="0022171A" w:rsidRDefault="0022171A" w:rsidP="00925B7B">
      <w:pPr>
        <w:spacing w:before="100" w:beforeAutospacing="1" w:after="100" w:afterAutospacing="1" w:line="240" w:lineRule="auto"/>
        <w:ind w:firstLine="720"/>
        <w:outlineLvl w:val="2"/>
        <w:rPr>
          <w:rFonts w:ascii="Times New Roman" w:eastAsia="Times New Roman" w:hAnsi="Times New Roman" w:cs="Times New Roman"/>
          <w:b/>
          <w:bCs/>
          <w:lang w:val="ro-RO"/>
        </w:rPr>
      </w:pPr>
    </w:p>
    <w:p w14:paraId="4410B82B" w14:textId="3B9AB5A5" w:rsidR="00C50A6B" w:rsidRPr="0022171A" w:rsidRDefault="00C50A6B" w:rsidP="00C50A6B">
      <w:pPr>
        <w:spacing w:before="100" w:beforeAutospacing="1" w:after="100" w:afterAutospacing="1" w:line="240" w:lineRule="auto"/>
        <w:outlineLvl w:val="2"/>
        <w:rPr>
          <w:rFonts w:ascii="Times New Roman" w:eastAsia="Times New Roman" w:hAnsi="Times New Roman" w:cs="Times New Roman"/>
          <w:b/>
          <w:bCs/>
        </w:rPr>
      </w:pPr>
      <w:r w:rsidRPr="0022171A">
        <w:rPr>
          <w:rFonts w:ascii="Times New Roman" w:eastAsia="Times New Roman" w:hAnsi="Times New Roman" w:cs="Times New Roman"/>
          <w:b/>
          <w:bCs/>
          <w:lang w:val="it-IT"/>
        </w:rPr>
        <w:t>T</w:t>
      </w:r>
      <w:r w:rsidR="00925B7B" w:rsidRPr="0022171A">
        <w:rPr>
          <w:rFonts w:ascii="Times New Roman" w:eastAsia="Times New Roman" w:hAnsi="Times New Roman" w:cs="Times New Roman"/>
          <w:b/>
          <w:bCs/>
          <w:lang w:val="it-IT"/>
        </w:rPr>
        <w:t>ematică</w:t>
      </w:r>
      <w:r w:rsidR="00925B7B" w:rsidRPr="0022171A">
        <w:rPr>
          <w:rFonts w:ascii="Times New Roman" w:eastAsia="Times New Roman" w:hAnsi="Times New Roman" w:cs="Times New Roman"/>
          <w:b/>
          <w:bCs/>
        </w:rPr>
        <w:t>:</w:t>
      </w:r>
    </w:p>
    <w:p w14:paraId="507631D8"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lang w:val="it-IT"/>
        </w:rPr>
      </w:pPr>
      <w:r w:rsidRPr="0022171A">
        <w:rPr>
          <w:rFonts w:ascii="Times New Roman" w:eastAsia="Times New Roman" w:hAnsi="Times New Roman" w:cs="Times New Roman"/>
          <w:b/>
          <w:bCs/>
          <w:lang w:val="it-IT"/>
        </w:rPr>
        <w:t>1. Noțiuni fundamentale de electrotehnică și electronică</w:t>
      </w:r>
      <w:r w:rsidRPr="0022171A">
        <w:rPr>
          <w:rFonts w:ascii="Times New Roman" w:eastAsia="Times New Roman" w:hAnsi="Times New Roman" w:cs="Times New Roman"/>
          <w:lang w:val="it-IT"/>
        </w:rPr>
        <w:br/>
        <w:t>Mărimi electrice fundamentale: tensiune, curent, rezistență și putere. Legea lui Ohm. Circuite de curent continuu și alternativ. Conectarea serie și paralel. Componente electronice pasive și active: rezistoare, condensatoare, inductanțe, diode și tranzistoare. Utilizarea aparatelor de măsură și verificarea circuitelor electrice/electronice.</w:t>
      </w:r>
    </w:p>
    <w:p w14:paraId="61631EB5"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lang w:val="it-IT"/>
        </w:rPr>
      </w:pPr>
      <w:r w:rsidRPr="0022171A">
        <w:rPr>
          <w:rFonts w:ascii="Times New Roman" w:eastAsia="Times New Roman" w:hAnsi="Times New Roman" w:cs="Times New Roman"/>
          <w:b/>
          <w:bCs/>
          <w:lang w:val="it-IT"/>
        </w:rPr>
        <w:t>2. Circuite electronice analogice și integrate</w:t>
      </w:r>
      <w:r w:rsidRPr="0022171A">
        <w:rPr>
          <w:rFonts w:ascii="Times New Roman" w:eastAsia="Times New Roman" w:hAnsi="Times New Roman" w:cs="Times New Roman"/>
          <w:lang w:val="it-IT"/>
        </w:rPr>
        <w:br/>
        <w:t>Principii generale de funcționare a circuitelor integrate liniare. Amplificatoare și amplificatoare operaționale. Filtre și circuite de condiționare a semnalelor. Surse de alimentare și stabilizarea tensiunii. Identificarea componentelor și interpretarea schemelor electronice.</w:t>
      </w:r>
    </w:p>
    <w:p w14:paraId="329DED88"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lang w:val="it-IT"/>
        </w:rPr>
      </w:pPr>
      <w:r w:rsidRPr="0022171A">
        <w:rPr>
          <w:rFonts w:ascii="Times New Roman" w:eastAsia="Times New Roman" w:hAnsi="Times New Roman" w:cs="Times New Roman"/>
          <w:b/>
          <w:bCs/>
          <w:lang w:val="it-IT"/>
        </w:rPr>
        <w:t>3. Circuite digitale</w:t>
      </w:r>
      <w:r w:rsidRPr="0022171A">
        <w:rPr>
          <w:rFonts w:ascii="Times New Roman" w:eastAsia="Times New Roman" w:hAnsi="Times New Roman" w:cs="Times New Roman"/>
          <w:lang w:val="it-IT"/>
        </w:rPr>
        <w:br/>
        <w:t>Noțiuni introductive privind semnalele analogice și digitale. Niveluri logice și circuite digitale. Tehnologia CMOS. Porți logice și funcții logice elementare. Interpretarea schemelor și a documentației tehnice pentru circuite integrate.</w:t>
      </w:r>
    </w:p>
    <w:p w14:paraId="6FAE43D5"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lang w:val="it-IT"/>
        </w:rPr>
      </w:pPr>
      <w:r w:rsidRPr="0022171A">
        <w:rPr>
          <w:rFonts w:ascii="Times New Roman" w:eastAsia="Times New Roman" w:hAnsi="Times New Roman" w:cs="Times New Roman"/>
          <w:b/>
          <w:bCs/>
          <w:lang w:val="it-IT"/>
        </w:rPr>
        <w:t>4. Noțiuni privind achiziția și transmiterea semnalelor</w:t>
      </w:r>
      <w:r w:rsidRPr="0022171A">
        <w:rPr>
          <w:rFonts w:ascii="Times New Roman" w:eastAsia="Times New Roman" w:hAnsi="Times New Roman" w:cs="Times New Roman"/>
          <w:lang w:val="it-IT"/>
        </w:rPr>
        <w:br/>
        <w:t>Conversia analog–digitală. Noțiuni privind rata de eșantionare, rezoluția și domeniul dinamic. Zgomotul electric și interferențele. Cabluri, conectori, ecranare și împământare. Noțiuni elementare privind comunicațiile seriale și interfețele utilizate pentru conectarea echipamentelor.</w:t>
      </w:r>
    </w:p>
    <w:p w14:paraId="0B6D42E2"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lang w:val="it-IT"/>
        </w:rPr>
      </w:pPr>
      <w:r w:rsidRPr="0022171A">
        <w:rPr>
          <w:rFonts w:ascii="Times New Roman" w:eastAsia="Times New Roman" w:hAnsi="Times New Roman" w:cs="Times New Roman"/>
          <w:b/>
          <w:bCs/>
          <w:lang w:val="it-IT"/>
        </w:rPr>
        <w:t>5. Instrumentație pentru înregistrarea mișcărilor seismice</w:t>
      </w:r>
      <w:r w:rsidRPr="0022171A">
        <w:rPr>
          <w:rFonts w:ascii="Times New Roman" w:eastAsia="Times New Roman" w:hAnsi="Times New Roman" w:cs="Times New Roman"/>
          <w:lang w:val="it-IT"/>
        </w:rPr>
        <w:br/>
        <w:t>Principiul de funcționare al accelerometrului. Noțiuni privind măsurarea accelerației solului. Componentele unui sistem de înregistrare a mișcărilor puternice. Instalarea, orientarea, alimentarea și verificarea funcționării unui accelerometru.</w:t>
      </w:r>
    </w:p>
    <w:p w14:paraId="79AB9F5B"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lang w:val="it-IT"/>
        </w:rPr>
      </w:pPr>
      <w:r w:rsidRPr="0022171A">
        <w:rPr>
          <w:rFonts w:ascii="Times New Roman" w:eastAsia="Times New Roman" w:hAnsi="Times New Roman" w:cs="Times New Roman"/>
          <w:b/>
          <w:bCs/>
          <w:lang w:val="it-IT"/>
        </w:rPr>
        <w:t>6. Accelerometrul Kinemetrics EpiSensor FBA ES-T</w:t>
      </w:r>
      <w:r w:rsidRPr="0022171A">
        <w:rPr>
          <w:rFonts w:ascii="Times New Roman" w:eastAsia="Times New Roman" w:hAnsi="Times New Roman" w:cs="Times New Roman"/>
          <w:lang w:val="it-IT"/>
        </w:rPr>
        <w:br/>
        <w:t>Principiul force-balance. Caracteristicile generale ale accelerometrului EpiSensor. Conectarea și alimentarea senzorului. Semnalele de ieșire. Orientarea și instalarea. Verificarea funcționării și identificarea unor probleme uzuale.</w:t>
      </w:r>
    </w:p>
    <w:p w14:paraId="439A9B5D" w14:textId="14CB96DB" w:rsidR="00C50A6B" w:rsidRPr="0022171A" w:rsidRDefault="00C50A6B" w:rsidP="00C50A6B">
      <w:pPr>
        <w:spacing w:before="100" w:beforeAutospacing="1" w:after="100" w:afterAutospacing="1" w:line="240" w:lineRule="auto"/>
        <w:rPr>
          <w:rFonts w:ascii="Times New Roman" w:eastAsia="Times New Roman" w:hAnsi="Times New Roman" w:cs="Times New Roman"/>
        </w:rPr>
      </w:pPr>
      <w:r w:rsidRPr="0022171A">
        <w:rPr>
          <w:rFonts w:ascii="Times New Roman" w:eastAsia="Times New Roman" w:hAnsi="Times New Roman" w:cs="Times New Roman"/>
          <w:b/>
          <w:bCs/>
          <w:lang w:val="it-IT"/>
        </w:rPr>
        <w:t>7. Activități practice de instalare și mentenanță a echipamentelor</w:t>
      </w:r>
      <w:r w:rsidRPr="0022171A">
        <w:rPr>
          <w:rFonts w:ascii="Times New Roman" w:eastAsia="Times New Roman" w:hAnsi="Times New Roman" w:cs="Times New Roman"/>
          <w:lang w:val="it-IT"/>
        </w:rPr>
        <w:br/>
        <w:t xml:space="preserve">Utilizarea multimetrului. Verificarea tensiunilor de alimentare, continuității cablurilor și conexiunilor. Identificarea pinilor și conectorilor. Depistarea defectelor elementare. Înlocuirea componentelor și cablurilor. Respectarea polarității și protecția echipamentelor. </w:t>
      </w:r>
      <w:r w:rsidRPr="0022171A">
        <w:rPr>
          <w:rFonts w:ascii="Times New Roman" w:eastAsia="Times New Roman" w:hAnsi="Times New Roman" w:cs="Times New Roman"/>
        </w:rPr>
        <w:t xml:space="preserve">Reguli de </w:t>
      </w:r>
      <w:proofErr w:type="spellStart"/>
      <w:r w:rsidRPr="0022171A">
        <w:rPr>
          <w:rFonts w:ascii="Times New Roman" w:eastAsia="Times New Roman" w:hAnsi="Times New Roman" w:cs="Times New Roman"/>
        </w:rPr>
        <w:t>bază</w:t>
      </w:r>
      <w:proofErr w:type="spellEnd"/>
      <w:r w:rsidRPr="0022171A">
        <w:rPr>
          <w:rFonts w:ascii="Times New Roman" w:eastAsia="Times New Roman" w:hAnsi="Times New Roman" w:cs="Times New Roman"/>
        </w:rPr>
        <w:t xml:space="preserve"> </w:t>
      </w:r>
      <w:proofErr w:type="spellStart"/>
      <w:r w:rsidRPr="0022171A">
        <w:rPr>
          <w:rFonts w:ascii="Times New Roman" w:eastAsia="Times New Roman" w:hAnsi="Times New Roman" w:cs="Times New Roman"/>
        </w:rPr>
        <w:t>privind</w:t>
      </w:r>
      <w:proofErr w:type="spellEnd"/>
      <w:r w:rsidRPr="0022171A">
        <w:rPr>
          <w:rFonts w:ascii="Times New Roman" w:eastAsia="Times New Roman" w:hAnsi="Times New Roman" w:cs="Times New Roman"/>
        </w:rPr>
        <w:t xml:space="preserve"> </w:t>
      </w:r>
      <w:proofErr w:type="spellStart"/>
      <w:r w:rsidRPr="0022171A">
        <w:rPr>
          <w:rFonts w:ascii="Times New Roman" w:eastAsia="Times New Roman" w:hAnsi="Times New Roman" w:cs="Times New Roman"/>
        </w:rPr>
        <w:t>securitatea</w:t>
      </w:r>
      <w:proofErr w:type="spellEnd"/>
      <w:r w:rsidRPr="0022171A">
        <w:rPr>
          <w:rFonts w:ascii="Times New Roman" w:eastAsia="Times New Roman" w:hAnsi="Times New Roman" w:cs="Times New Roman"/>
        </w:rPr>
        <w:t xml:space="preserve"> </w:t>
      </w:r>
      <w:proofErr w:type="spellStart"/>
      <w:r w:rsidRPr="0022171A">
        <w:rPr>
          <w:rFonts w:ascii="Times New Roman" w:eastAsia="Times New Roman" w:hAnsi="Times New Roman" w:cs="Times New Roman"/>
        </w:rPr>
        <w:t>în</w:t>
      </w:r>
      <w:proofErr w:type="spellEnd"/>
      <w:r w:rsidRPr="0022171A">
        <w:rPr>
          <w:rFonts w:ascii="Times New Roman" w:eastAsia="Times New Roman" w:hAnsi="Times New Roman" w:cs="Times New Roman"/>
        </w:rPr>
        <w:t xml:space="preserve"> </w:t>
      </w:r>
      <w:proofErr w:type="spellStart"/>
      <w:r w:rsidRPr="0022171A">
        <w:rPr>
          <w:rFonts w:ascii="Times New Roman" w:eastAsia="Times New Roman" w:hAnsi="Times New Roman" w:cs="Times New Roman"/>
        </w:rPr>
        <w:t>lucrul</w:t>
      </w:r>
      <w:proofErr w:type="spellEnd"/>
      <w:r w:rsidRPr="0022171A">
        <w:rPr>
          <w:rFonts w:ascii="Times New Roman" w:eastAsia="Times New Roman" w:hAnsi="Times New Roman" w:cs="Times New Roman"/>
        </w:rPr>
        <w:t xml:space="preserve"> cu </w:t>
      </w:r>
      <w:proofErr w:type="spellStart"/>
      <w:r w:rsidRPr="0022171A">
        <w:rPr>
          <w:rFonts w:ascii="Times New Roman" w:eastAsia="Times New Roman" w:hAnsi="Times New Roman" w:cs="Times New Roman"/>
        </w:rPr>
        <w:t>instalații</w:t>
      </w:r>
      <w:proofErr w:type="spellEnd"/>
      <w:r w:rsidRPr="0022171A">
        <w:rPr>
          <w:rFonts w:ascii="Times New Roman" w:eastAsia="Times New Roman" w:hAnsi="Times New Roman" w:cs="Times New Roman"/>
        </w:rPr>
        <w:t xml:space="preserve"> </w:t>
      </w:r>
      <w:proofErr w:type="spellStart"/>
      <w:r w:rsidRPr="0022171A">
        <w:rPr>
          <w:rFonts w:ascii="Times New Roman" w:eastAsia="Times New Roman" w:hAnsi="Times New Roman" w:cs="Times New Roman"/>
        </w:rPr>
        <w:t>electrice</w:t>
      </w:r>
      <w:proofErr w:type="spellEnd"/>
      <w:r w:rsidRPr="0022171A">
        <w:rPr>
          <w:rFonts w:ascii="Times New Roman" w:eastAsia="Times New Roman" w:hAnsi="Times New Roman" w:cs="Times New Roman"/>
        </w:rPr>
        <w:t xml:space="preserve"> </w:t>
      </w:r>
      <w:proofErr w:type="spellStart"/>
      <w:r w:rsidRPr="0022171A">
        <w:rPr>
          <w:rFonts w:ascii="Times New Roman" w:eastAsia="Times New Roman" w:hAnsi="Times New Roman" w:cs="Times New Roman"/>
        </w:rPr>
        <w:t>și</w:t>
      </w:r>
      <w:proofErr w:type="spellEnd"/>
      <w:r w:rsidRPr="0022171A">
        <w:rPr>
          <w:rFonts w:ascii="Times New Roman" w:eastAsia="Times New Roman" w:hAnsi="Times New Roman" w:cs="Times New Roman"/>
        </w:rPr>
        <w:t xml:space="preserve"> </w:t>
      </w:r>
      <w:proofErr w:type="spellStart"/>
      <w:r w:rsidRPr="0022171A">
        <w:rPr>
          <w:rFonts w:ascii="Times New Roman" w:eastAsia="Times New Roman" w:hAnsi="Times New Roman" w:cs="Times New Roman"/>
        </w:rPr>
        <w:t>electronice</w:t>
      </w:r>
      <w:proofErr w:type="spellEnd"/>
      <w:r w:rsidRPr="0022171A">
        <w:rPr>
          <w:rFonts w:ascii="Times New Roman" w:eastAsia="Times New Roman" w:hAnsi="Times New Roman" w:cs="Times New Roman"/>
        </w:rPr>
        <w:t>.</w:t>
      </w:r>
    </w:p>
    <w:p w14:paraId="4B5219A5" w14:textId="47BE4403" w:rsidR="00C50A6B" w:rsidRPr="0022171A" w:rsidRDefault="00C50A6B" w:rsidP="00C50A6B">
      <w:pPr>
        <w:spacing w:before="100" w:beforeAutospacing="1" w:after="100" w:afterAutospacing="1" w:line="240" w:lineRule="auto"/>
        <w:rPr>
          <w:rFonts w:ascii="Times New Roman" w:eastAsia="Times New Roman" w:hAnsi="Times New Roman" w:cs="Times New Roman"/>
          <w:b/>
          <w:bCs/>
          <w:lang w:val="it-IT"/>
        </w:rPr>
      </w:pPr>
      <w:r w:rsidRPr="0022171A">
        <w:rPr>
          <w:rFonts w:ascii="Times New Roman" w:eastAsia="Times New Roman" w:hAnsi="Times New Roman" w:cs="Times New Roman"/>
          <w:b/>
          <w:bCs/>
          <w:lang w:val="it-IT"/>
        </w:rPr>
        <w:t>8. Digitizoare și sisteme de achiziție seismică</w:t>
      </w:r>
    </w:p>
    <w:p w14:paraId="24E7934C" w14:textId="72F26DCD" w:rsidR="00C50A6B" w:rsidRPr="0022171A" w:rsidRDefault="00C50A6B" w:rsidP="00C50A6B">
      <w:pPr>
        <w:spacing w:before="100" w:beforeAutospacing="1" w:after="100" w:afterAutospacing="1" w:line="240" w:lineRule="auto"/>
        <w:rPr>
          <w:rFonts w:ascii="Times New Roman" w:eastAsia="Times New Roman" w:hAnsi="Times New Roman" w:cs="Times New Roman"/>
          <w:lang w:val="it-IT"/>
        </w:rPr>
      </w:pPr>
      <w:r w:rsidRPr="0022171A">
        <w:rPr>
          <w:rFonts w:ascii="Times New Roman" w:eastAsia="Times New Roman" w:hAnsi="Times New Roman" w:cs="Times New Roman"/>
          <w:lang w:val="it-IT"/>
        </w:rPr>
        <w:t>Principiul de funcționare al unui digitizor seismic. Instalarea, conectarea și punerea în funcțiune a digitizoarelor Quanterra Q330 și Kinemetrics Basalt. Conectarea senzorilor seismici. Alimentarea echipamentelor. Sincronizarea temporală GPS. Conectivitatea și transmiterea datelor. Configurarea parametrilor de bază. Verificarea stării de funcționare și identificarea/diagnosticarea problemelor uzuale.</w:t>
      </w:r>
    </w:p>
    <w:p w14:paraId="460D332A" w14:textId="183E2B0B" w:rsidR="00C50A6B" w:rsidRPr="0022171A" w:rsidRDefault="00C50A6B" w:rsidP="00C50A6B">
      <w:pPr>
        <w:spacing w:before="100" w:beforeAutospacing="1" w:after="100" w:afterAutospacing="1" w:line="240" w:lineRule="auto"/>
        <w:rPr>
          <w:rFonts w:ascii="Times New Roman" w:eastAsia="Times New Roman" w:hAnsi="Times New Roman" w:cs="Times New Roman"/>
          <w:b/>
          <w:bCs/>
          <w:lang w:val="it-IT"/>
        </w:rPr>
      </w:pPr>
      <w:r w:rsidRPr="0022171A">
        <w:rPr>
          <w:rFonts w:ascii="Times New Roman" w:eastAsia="Times New Roman" w:hAnsi="Times New Roman" w:cs="Times New Roman"/>
          <w:b/>
          <w:bCs/>
          <w:lang w:val="it-IT"/>
        </w:rPr>
        <w:lastRenderedPageBreak/>
        <w:t>Bibliografie</w:t>
      </w:r>
      <w:r w:rsidR="00925B7B" w:rsidRPr="0022171A">
        <w:rPr>
          <w:rFonts w:ascii="Times New Roman" w:eastAsia="Times New Roman" w:hAnsi="Times New Roman" w:cs="Times New Roman"/>
          <w:b/>
          <w:bCs/>
          <w:lang w:val="it-IT"/>
        </w:rPr>
        <w:t>:</w:t>
      </w:r>
    </w:p>
    <w:p w14:paraId="0370A9DA"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lang w:val="it-IT"/>
        </w:rPr>
      </w:pPr>
      <w:r w:rsidRPr="0022171A">
        <w:rPr>
          <w:rFonts w:ascii="Times New Roman" w:eastAsia="Times New Roman" w:hAnsi="Times New Roman" w:cs="Times New Roman"/>
          <w:lang w:val="it-IT"/>
        </w:rPr>
        <w:t>Chiric, T., Dinu, I., Soroceanu, N. – Scheme de radioreceptoare, Vol. I, Editura Tehnică, București, 1973.</w:t>
      </w:r>
    </w:p>
    <w:p w14:paraId="1430D0A3"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lang w:val="it-IT"/>
        </w:rPr>
      </w:pPr>
      <w:r w:rsidRPr="0022171A">
        <w:rPr>
          <w:rFonts w:ascii="Times New Roman" w:eastAsia="Times New Roman" w:hAnsi="Times New Roman" w:cs="Times New Roman"/>
          <w:lang w:val="it-IT"/>
        </w:rPr>
        <w:t>Bodea, M. et al. – Circuite integrate liniare. Manual de utilizare, Vol. 1, Editura Tehnică, București.</w:t>
      </w:r>
    </w:p>
    <w:p w14:paraId="2FC0B8C9"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rPr>
      </w:pPr>
      <w:r w:rsidRPr="0022171A">
        <w:rPr>
          <w:rFonts w:ascii="Times New Roman" w:eastAsia="Times New Roman" w:hAnsi="Times New Roman" w:cs="Times New Roman"/>
        </w:rPr>
        <w:t>Fairchild Semiconductor – CMOS Data Book.</w:t>
      </w:r>
    </w:p>
    <w:p w14:paraId="0F7DBA02"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rPr>
      </w:pPr>
      <w:proofErr w:type="spellStart"/>
      <w:r w:rsidRPr="0022171A">
        <w:rPr>
          <w:rFonts w:ascii="Times New Roman" w:eastAsia="Times New Roman" w:hAnsi="Times New Roman" w:cs="Times New Roman"/>
        </w:rPr>
        <w:t>Kinemetrics</w:t>
      </w:r>
      <w:proofErr w:type="spellEnd"/>
      <w:r w:rsidRPr="0022171A">
        <w:rPr>
          <w:rFonts w:ascii="Times New Roman" w:eastAsia="Times New Roman" w:hAnsi="Times New Roman" w:cs="Times New Roman"/>
        </w:rPr>
        <w:t xml:space="preserve">, Inc. – </w:t>
      </w:r>
      <w:proofErr w:type="spellStart"/>
      <w:r w:rsidRPr="0022171A">
        <w:rPr>
          <w:rFonts w:ascii="Times New Roman" w:eastAsia="Times New Roman" w:hAnsi="Times New Roman" w:cs="Times New Roman"/>
        </w:rPr>
        <w:t>EpiSensor</w:t>
      </w:r>
      <w:proofErr w:type="spellEnd"/>
      <w:r w:rsidRPr="0022171A">
        <w:rPr>
          <w:rFonts w:ascii="Times New Roman" w:eastAsia="Times New Roman" w:hAnsi="Times New Roman" w:cs="Times New Roman"/>
        </w:rPr>
        <w:t xml:space="preserve"> Force Balance Accelerometer, Model FBA ES-T – User Guide.</w:t>
      </w:r>
    </w:p>
    <w:p w14:paraId="6555A109"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rPr>
      </w:pPr>
      <w:proofErr w:type="spellStart"/>
      <w:r w:rsidRPr="0022171A">
        <w:rPr>
          <w:rFonts w:ascii="Times New Roman" w:eastAsia="Times New Roman" w:hAnsi="Times New Roman" w:cs="Times New Roman"/>
        </w:rPr>
        <w:t>Kinemetrics</w:t>
      </w:r>
      <w:proofErr w:type="spellEnd"/>
      <w:r w:rsidRPr="0022171A">
        <w:rPr>
          <w:rFonts w:ascii="Times New Roman" w:eastAsia="Times New Roman" w:hAnsi="Times New Roman" w:cs="Times New Roman"/>
        </w:rPr>
        <w:t>, Inc. – Operating Instructions for SMA-1 Strong Motion Accelerograph, rev. April 1976.</w:t>
      </w:r>
    </w:p>
    <w:p w14:paraId="210FCCF5"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rPr>
      </w:pPr>
      <w:proofErr w:type="spellStart"/>
      <w:r w:rsidRPr="0022171A">
        <w:rPr>
          <w:rFonts w:ascii="Times New Roman" w:eastAsia="Times New Roman" w:hAnsi="Times New Roman" w:cs="Times New Roman"/>
        </w:rPr>
        <w:t>Quanterra</w:t>
      </w:r>
      <w:proofErr w:type="spellEnd"/>
      <w:r w:rsidRPr="0022171A">
        <w:rPr>
          <w:rFonts w:ascii="Times New Roman" w:eastAsia="Times New Roman" w:hAnsi="Times New Roman" w:cs="Times New Roman"/>
        </w:rPr>
        <w:t>, Inc. – Q330 Operations Guide – Q330HR/Q330 Operation, Overview of Support Tools and Baler Operation.</w:t>
      </w:r>
    </w:p>
    <w:p w14:paraId="596B3414" w14:textId="7636A20D" w:rsidR="00C50A6B" w:rsidRPr="0022171A" w:rsidRDefault="00C50A6B" w:rsidP="00C50A6B">
      <w:pPr>
        <w:spacing w:before="100" w:beforeAutospacing="1" w:after="100" w:afterAutospacing="1" w:line="240" w:lineRule="auto"/>
        <w:rPr>
          <w:rFonts w:ascii="Times New Roman" w:eastAsia="Times New Roman" w:hAnsi="Times New Roman" w:cs="Times New Roman"/>
        </w:rPr>
      </w:pPr>
      <w:proofErr w:type="spellStart"/>
      <w:r w:rsidRPr="0022171A">
        <w:rPr>
          <w:rFonts w:ascii="Times New Roman" w:eastAsia="Times New Roman" w:hAnsi="Times New Roman" w:cs="Times New Roman"/>
        </w:rPr>
        <w:t>Kinemetrics</w:t>
      </w:r>
      <w:proofErr w:type="spellEnd"/>
      <w:r w:rsidRPr="0022171A">
        <w:rPr>
          <w:rFonts w:ascii="Times New Roman" w:eastAsia="Times New Roman" w:hAnsi="Times New Roman" w:cs="Times New Roman"/>
        </w:rPr>
        <w:t>, Inc. – ROCK Digitizer User Manual – Granite and Basalt Multichannel Data Acquisition Systems, Document 300715.</w:t>
      </w:r>
    </w:p>
    <w:p w14:paraId="1E527CBB" w14:textId="5D87C136" w:rsidR="00C50A6B" w:rsidRPr="0022171A" w:rsidRDefault="00C50A6B" w:rsidP="00C50A6B">
      <w:pPr>
        <w:spacing w:before="100" w:beforeAutospacing="1" w:after="100" w:afterAutospacing="1" w:line="240" w:lineRule="auto"/>
        <w:rPr>
          <w:rFonts w:ascii="Times New Roman" w:eastAsia="Times New Roman" w:hAnsi="Times New Roman" w:cs="Times New Roman"/>
        </w:rPr>
      </w:pPr>
    </w:p>
    <w:p w14:paraId="3C0C260F" w14:textId="77777777" w:rsidR="00C50A6B" w:rsidRPr="0022171A" w:rsidRDefault="00C50A6B" w:rsidP="00C50A6B">
      <w:pPr>
        <w:spacing w:before="100" w:beforeAutospacing="1" w:after="100" w:afterAutospacing="1" w:line="240" w:lineRule="auto"/>
        <w:rPr>
          <w:rFonts w:ascii="Times New Roman" w:eastAsia="Times New Roman" w:hAnsi="Times New Roman" w:cs="Times New Roman"/>
        </w:rPr>
      </w:pPr>
    </w:p>
    <w:p w14:paraId="0DEF84F5" w14:textId="77777777" w:rsidR="007312A9" w:rsidRPr="0022171A" w:rsidRDefault="007312A9"/>
    <w:sectPr w:rsidR="007312A9" w:rsidRPr="002217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550"/>
    <w:rsid w:val="0022171A"/>
    <w:rsid w:val="003D45CE"/>
    <w:rsid w:val="006D7142"/>
    <w:rsid w:val="007312A9"/>
    <w:rsid w:val="00925B7B"/>
    <w:rsid w:val="00C50A6B"/>
    <w:rsid w:val="00CB1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70AC4"/>
  <w15:chartTrackingRefBased/>
  <w15:docId w15:val="{FAD44624-FE95-4263-A4AE-A3F63490A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50A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50A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50A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0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23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532</Words>
  <Characters>3037</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Neagoe</dc:creator>
  <cp:keywords/>
  <dc:description/>
  <cp:lastModifiedBy>utilizator</cp:lastModifiedBy>
  <cp:revision>6</cp:revision>
  <dcterms:created xsi:type="dcterms:W3CDTF">2026-09-18T08:56:00Z</dcterms:created>
  <dcterms:modified xsi:type="dcterms:W3CDTF">2026-09-23T08:56:00Z</dcterms:modified>
</cp:coreProperties>
</file>